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023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Образотворче мистецтво, декоративне мистецтво, реставрація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r>
              <w:rPr>
                <w:i/>
                <w:iCs/>
                <w:lang w:val="uk-UA"/>
              </w:rPr>
              <w:t>Станкова і монументальна скульптура</w:t>
            </w:r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15 травня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38582F" w:rsidTr="005103C8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10644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Корнейко</w:t>
            </w:r>
            <w:proofErr w:type="spellEnd"/>
            <w:r w:rsidRPr="0010644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Юлія Миколаївна</w:t>
            </w:r>
            <w:r w:rsidRPr="0010644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кандидат педагогічних наук, доцент, доцент кафедри педагогіки, іноземної та української філології.</w:t>
            </w:r>
          </w:p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1064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hyperlink r:id="rId6" w:history="1">
              <w:r w:rsidRPr="00106440">
                <w:rPr>
                  <w:rFonts w:ascii="Times New Roman" w:eastAsia="Times New Roman" w:hAnsi="Times New Roman" w:cs="Times New Roman"/>
                  <w:color w:val="0563C1"/>
                  <w:u w:val="single"/>
                  <w:lang w:val="uk-UA"/>
                </w:rPr>
                <w:t>korneiko78@gmail.com</w:t>
              </w:r>
            </w:hyperlink>
            <w:r w:rsidRPr="00106440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 </w:t>
            </w:r>
          </w:p>
          <w:p w:rsidR="00106440" w:rsidRPr="008B67D2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мати здатність до подальшого навчання з метою поглиблення набутих та здобу уміти спілкуватися, включаючи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5103C8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5103C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5103C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7B73EF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7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7B73EF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5103C8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5103C8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5103C8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lastRenderedPageBreak/>
              <w:t>Time expressions.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5103C8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5103C8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5103C8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5103C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Тема 5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5103C8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5103C8">
        <w:tc>
          <w:tcPr>
            <w:tcW w:w="988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5103C8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5103C8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5103C8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5103C8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DE732C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DE732C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DE732C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5103C8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7B73EF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7B73EF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1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0B36A0" w:rsidRDefault="00321418"/>
    <w:sectPr w:rsidR="000B36A0" w:rsidSect="00F9643E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106440"/>
    <w:rsid w:val="00321418"/>
    <w:rsid w:val="006F0AE6"/>
    <w:rsid w:val="007B73EF"/>
    <w:rsid w:val="007F066A"/>
    <w:rsid w:val="00A51341"/>
    <w:rsid w:val="00BE3D2F"/>
    <w:rsid w:val="00C46322"/>
    <w:rsid w:val="00DE732C"/>
    <w:rsid w:val="00E9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shho-v-uchniv-ta-studentiv-na-dumt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eiko78@gmail.com" TargetMode="External"/><Relationship Id="rId11" Type="http://schemas.openxmlformats.org/officeDocument/2006/relationships/hyperlink" Target="http://www.manything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ing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dway5e.oxfordonlinepractice.com/app/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2021-01-29T14:48:00Z</dcterms:created>
  <dcterms:modified xsi:type="dcterms:W3CDTF">2021-01-29T14:48:00Z</dcterms:modified>
</cp:coreProperties>
</file>